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0C" w:rsidRPr="00507A7D" w:rsidRDefault="00734B0C" w:rsidP="00734B0C">
      <w:pPr>
        <w:tabs>
          <w:tab w:val="center" w:pos="4536"/>
        </w:tabs>
        <w:rPr>
          <w:b/>
          <w:sz w:val="36"/>
          <w:szCs w:val="36"/>
        </w:rPr>
      </w:pPr>
      <w:r w:rsidRPr="00507A7D">
        <w:rPr>
          <w:b/>
          <w:sz w:val="36"/>
          <w:szCs w:val="36"/>
        </w:rPr>
        <w:t>INTERESSEFORMULIER</w:t>
      </w:r>
    </w:p>
    <w:p w:rsidR="00A501E4" w:rsidRPr="00507A7D" w:rsidRDefault="004D4AC3">
      <w:pPr>
        <w:tabs>
          <w:tab w:val="center" w:pos="4536"/>
        </w:tabs>
      </w:pPr>
      <w:r w:rsidRPr="00507A7D">
        <w:rPr>
          <w:b/>
          <w:sz w:val="32"/>
          <w:szCs w:val="32"/>
        </w:rPr>
        <w:t xml:space="preserve">Arbeidsongeschiktheidsverzekering </w:t>
      </w:r>
      <w:r w:rsidR="00AF526C" w:rsidRPr="00507A7D">
        <w:rPr>
          <w:b/>
          <w:sz w:val="32"/>
          <w:szCs w:val="32"/>
        </w:rPr>
        <w:t xml:space="preserve">voor </w:t>
      </w:r>
      <w:r w:rsidR="006853F9" w:rsidRPr="00507A7D">
        <w:rPr>
          <w:b/>
          <w:sz w:val="32"/>
          <w:szCs w:val="32"/>
        </w:rPr>
        <w:t>leden van</w:t>
      </w:r>
      <w:r w:rsidR="00260363" w:rsidRPr="00507A7D">
        <w:rPr>
          <w:b/>
          <w:sz w:val="32"/>
          <w:szCs w:val="32"/>
        </w:rPr>
        <w:t xml:space="preserve"> </w:t>
      </w:r>
      <w:r w:rsidR="00AF526C" w:rsidRPr="00507A7D">
        <w:rPr>
          <w:b/>
          <w:sz w:val="32"/>
          <w:szCs w:val="32"/>
        </w:rPr>
        <w:t>VPHuisartsen</w:t>
      </w:r>
      <w:r w:rsidRPr="00507A7D">
        <w:rPr>
          <w:b/>
          <w:sz w:val="32"/>
          <w:szCs w:val="32"/>
        </w:rPr>
        <w:br/>
      </w:r>
    </w:p>
    <w:p w:rsidR="00A501E4" w:rsidRPr="00507A7D" w:rsidRDefault="00734B0C">
      <w:pPr>
        <w:tabs>
          <w:tab w:val="center" w:pos="4536"/>
        </w:tabs>
      </w:pPr>
      <w:r w:rsidRPr="00507A7D">
        <w:t xml:space="preserve">De Goudse </w:t>
      </w:r>
      <w:r w:rsidR="00C31063" w:rsidRPr="00507A7D">
        <w:t>heeft</w:t>
      </w:r>
      <w:r w:rsidR="007947B9" w:rsidRPr="00507A7D">
        <w:t xml:space="preserve"> </w:t>
      </w:r>
      <w:r w:rsidR="00AF526C" w:rsidRPr="00507A7D">
        <w:t>in samenwerking met Van Lanschot Chabot</w:t>
      </w:r>
      <w:r w:rsidR="00C31063" w:rsidRPr="00507A7D">
        <w:t xml:space="preserve"> </w:t>
      </w:r>
      <w:r w:rsidR="00AF526C" w:rsidRPr="00507A7D">
        <w:t>voor onze leden</w:t>
      </w:r>
      <w:r w:rsidR="00C31063" w:rsidRPr="00507A7D">
        <w:t xml:space="preserve"> </w:t>
      </w:r>
      <w:r w:rsidR="001C49A4" w:rsidRPr="00507A7D">
        <w:t xml:space="preserve">een unieke </w:t>
      </w:r>
      <w:bookmarkStart w:id="0" w:name="_GoBack"/>
      <w:bookmarkEnd w:id="0"/>
      <w:r w:rsidR="0076790A" w:rsidRPr="00507A7D">
        <w:t>arbeidsongeschiktheidsverzekering</w:t>
      </w:r>
      <w:r w:rsidR="001C49A4" w:rsidRPr="00507A7D">
        <w:t xml:space="preserve"> ontwikkeld. </w:t>
      </w:r>
      <w:r w:rsidR="000974B9" w:rsidRPr="00507A7D">
        <w:t>De dekking van deze verzekering is tenminste zo goed als van vergelijkbare AOV’s, en de premie is in de meeste gevallen aanzienlijk lager.  Exclusief voor leden van VPHuisartsen geldt nog een extra premiekorting van 10%.</w:t>
      </w:r>
    </w:p>
    <w:p w:rsidR="007D710F" w:rsidRPr="00507A7D" w:rsidRDefault="000974B9">
      <w:pPr>
        <w:rPr>
          <w:b/>
          <w:sz w:val="24"/>
          <w:szCs w:val="24"/>
        </w:rPr>
      </w:pPr>
      <w:r w:rsidRPr="00507A7D">
        <w:rPr>
          <w:b/>
          <w:sz w:val="24"/>
          <w:szCs w:val="24"/>
        </w:rPr>
        <w:t>Belangrijke voordelen:</w:t>
      </w:r>
    </w:p>
    <w:p w:rsidR="00AF526C" w:rsidRPr="00507A7D" w:rsidRDefault="000974B9" w:rsidP="007947B9">
      <w:pPr>
        <w:pStyle w:val="Lijstalinea"/>
        <w:numPr>
          <w:ilvl w:val="0"/>
          <w:numId w:val="1"/>
        </w:numPr>
      </w:pPr>
      <w:r w:rsidRPr="00507A7D">
        <w:t>Premievoordeel afhankelijk van uw situatie oplopend tot 30% t.o.v. uw huidige verzekering</w:t>
      </w:r>
    </w:p>
    <w:p w:rsidR="001C49A4" w:rsidRPr="00507A7D" w:rsidRDefault="000974B9" w:rsidP="007947B9">
      <w:pPr>
        <w:pStyle w:val="Lijstalinea"/>
        <w:numPr>
          <w:ilvl w:val="0"/>
          <w:numId w:val="1"/>
        </w:numPr>
      </w:pPr>
      <w:r w:rsidRPr="00507A7D">
        <w:t>De juiste verzekering, op maat gesneden en passend bij uw persoonlijke situatie</w:t>
      </w:r>
    </w:p>
    <w:p w:rsidR="007947B9" w:rsidRPr="00507A7D" w:rsidRDefault="000974B9" w:rsidP="007947B9">
      <w:pPr>
        <w:pStyle w:val="Lijstalinea"/>
        <w:numPr>
          <w:ilvl w:val="0"/>
          <w:numId w:val="1"/>
        </w:numPr>
      </w:pPr>
      <w:r w:rsidRPr="00507A7D">
        <w:t>Overstappen van de huidige verzekeraar naar De Goudse kan heel eenvoudig, zonder rompslomp</w:t>
      </w:r>
    </w:p>
    <w:p w:rsidR="009B41C6" w:rsidRPr="00507A7D" w:rsidRDefault="000974B9" w:rsidP="007947B9">
      <w:pPr>
        <w:pStyle w:val="Lijstalinea"/>
        <w:numPr>
          <w:ilvl w:val="0"/>
          <w:numId w:val="1"/>
        </w:numPr>
      </w:pPr>
      <w:r w:rsidRPr="00507A7D">
        <w:t>Het verzekerd bedrag kan jaarlijks met 10% worden verhoogd zonder medische waarborgen</w:t>
      </w:r>
    </w:p>
    <w:p w:rsidR="007947B9" w:rsidRPr="00507A7D" w:rsidRDefault="000974B9" w:rsidP="007947B9">
      <w:pPr>
        <w:pStyle w:val="Lijstalinea"/>
        <w:numPr>
          <w:ilvl w:val="0"/>
          <w:numId w:val="1"/>
        </w:numPr>
        <w:rPr>
          <w:b/>
          <w:sz w:val="24"/>
          <w:szCs w:val="24"/>
        </w:rPr>
      </w:pPr>
      <w:r w:rsidRPr="00507A7D">
        <w:t>Tijdens de overstap eenvoudig ‘opplussen’ naar hogere eindleeftijd mogelijk</w:t>
      </w:r>
    </w:p>
    <w:p w:rsidR="001C49A4" w:rsidRPr="00507A7D" w:rsidRDefault="000974B9" w:rsidP="001C49A4">
      <w:pPr>
        <w:pStyle w:val="Lijstalinea"/>
        <w:numPr>
          <w:ilvl w:val="0"/>
          <w:numId w:val="1"/>
        </w:numPr>
      </w:pPr>
      <w:r w:rsidRPr="00507A7D">
        <w:t>Premiekorting van 10% voor (alle) leden van VPHuisartsen</w:t>
      </w:r>
    </w:p>
    <w:p w:rsidR="007D710F" w:rsidRPr="00507A7D" w:rsidRDefault="000974B9">
      <w:pPr>
        <w:rPr>
          <w:b/>
          <w:sz w:val="32"/>
          <w:szCs w:val="32"/>
        </w:rPr>
      </w:pPr>
      <w:r w:rsidRPr="00507A7D">
        <w:rPr>
          <w:b/>
          <w:sz w:val="32"/>
          <w:szCs w:val="32"/>
        </w:rPr>
        <w:t>GEINTERESSEERD?</w:t>
      </w:r>
    </w:p>
    <w:p w:rsidR="007D710F" w:rsidRPr="00507A7D" w:rsidRDefault="000974B9">
      <w:r w:rsidRPr="00507A7D">
        <w:rPr>
          <w:b/>
        </w:rPr>
        <w:t>JA</w:t>
      </w:r>
      <w:r w:rsidRPr="00507A7D">
        <w:t xml:space="preserve">, ik wil graag meer weten over deze nieuwe Ondernemers-AOV .  Een adviseur Healthcare van </w:t>
      </w:r>
      <w:proofErr w:type="spellStart"/>
      <w:r w:rsidRPr="00507A7D">
        <w:t>Van</w:t>
      </w:r>
      <w:proofErr w:type="spellEnd"/>
      <w:r w:rsidRPr="00507A7D">
        <w:t xml:space="preserve"> Lanschot Chabot mag contact met mij opnemen voor verdere informatie en advies. </w:t>
      </w:r>
    </w:p>
    <w:p w:rsidR="00154D39" w:rsidRDefault="00154D39" w:rsidP="00154D39">
      <w:pPr>
        <w:rPr>
          <w:sz w:val="24"/>
          <w:szCs w:val="24"/>
        </w:rPr>
      </w:pPr>
      <w:r w:rsidRPr="00507A7D">
        <w:rPr>
          <w:sz w:val="24"/>
          <w:szCs w:val="24"/>
        </w:rPr>
        <w:t>Ook uw huidige verzekeringsadviseur kan gebruik maken van deze aantrekkelijke aanbieding van De Goudse Verzekeringen. U kunt daarvoor met hem of haar contact opnemen.</w:t>
      </w:r>
    </w:p>
    <w:p w:rsidR="00507A7D" w:rsidRPr="00507A7D" w:rsidRDefault="00507A7D" w:rsidP="00154D39">
      <w:pPr>
        <w:rPr>
          <w:sz w:val="24"/>
          <w:szCs w:val="24"/>
        </w:rPr>
      </w:pPr>
    </w:p>
    <w:tbl>
      <w:tblPr>
        <w:tblStyle w:val="Tabelraster"/>
        <w:tblW w:w="0" w:type="auto"/>
        <w:tblLook w:val="04A0"/>
      </w:tblPr>
      <w:tblGrid>
        <w:gridCol w:w="1668"/>
        <w:gridCol w:w="7544"/>
      </w:tblGrid>
      <w:tr w:rsidR="007D710F" w:rsidRPr="00507A7D" w:rsidTr="00777F4E">
        <w:trPr>
          <w:trHeight w:val="567"/>
        </w:trPr>
        <w:tc>
          <w:tcPr>
            <w:tcW w:w="1668" w:type="dxa"/>
            <w:vAlign w:val="center"/>
          </w:tcPr>
          <w:p w:rsidR="007D710F" w:rsidRPr="00507A7D" w:rsidRDefault="000974B9">
            <w:pPr>
              <w:spacing w:after="200" w:line="276" w:lineRule="auto"/>
              <w:rPr>
                <w:sz w:val="24"/>
                <w:szCs w:val="24"/>
              </w:rPr>
            </w:pPr>
            <w:r w:rsidRPr="00507A7D">
              <w:rPr>
                <w:sz w:val="24"/>
                <w:szCs w:val="24"/>
              </w:rPr>
              <w:t>Naam</w:t>
            </w:r>
          </w:p>
        </w:tc>
        <w:tc>
          <w:tcPr>
            <w:tcW w:w="7544" w:type="dxa"/>
            <w:vAlign w:val="center"/>
          </w:tcPr>
          <w:p w:rsidR="007D710F" w:rsidRPr="00507A7D" w:rsidRDefault="007D710F">
            <w:pPr>
              <w:spacing w:after="200" w:line="276" w:lineRule="auto"/>
              <w:rPr>
                <w:sz w:val="24"/>
                <w:szCs w:val="24"/>
              </w:rPr>
            </w:pPr>
          </w:p>
        </w:tc>
      </w:tr>
      <w:tr w:rsidR="007D710F" w:rsidRPr="00507A7D" w:rsidTr="00777F4E">
        <w:trPr>
          <w:trHeight w:val="567"/>
        </w:trPr>
        <w:tc>
          <w:tcPr>
            <w:tcW w:w="1668" w:type="dxa"/>
            <w:vAlign w:val="center"/>
          </w:tcPr>
          <w:p w:rsidR="007D710F" w:rsidRPr="00507A7D" w:rsidRDefault="000974B9">
            <w:pPr>
              <w:spacing w:after="200" w:line="276" w:lineRule="auto"/>
              <w:rPr>
                <w:sz w:val="24"/>
                <w:szCs w:val="24"/>
              </w:rPr>
            </w:pPr>
            <w:r w:rsidRPr="00507A7D">
              <w:rPr>
                <w:sz w:val="24"/>
                <w:szCs w:val="24"/>
              </w:rPr>
              <w:t>Praktijknaam</w:t>
            </w:r>
          </w:p>
        </w:tc>
        <w:tc>
          <w:tcPr>
            <w:tcW w:w="7544" w:type="dxa"/>
            <w:vAlign w:val="center"/>
          </w:tcPr>
          <w:p w:rsidR="007D710F" w:rsidRPr="00507A7D" w:rsidRDefault="007D710F">
            <w:pPr>
              <w:spacing w:after="200" w:line="276" w:lineRule="auto"/>
              <w:rPr>
                <w:sz w:val="24"/>
                <w:szCs w:val="24"/>
              </w:rPr>
            </w:pPr>
          </w:p>
        </w:tc>
      </w:tr>
      <w:tr w:rsidR="007D710F" w:rsidRPr="00507A7D" w:rsidTr="00777F4E">
        <w:trPr>
          <w:trHeight w:val="567"/>
        </w:trPr>
        <w:tc>
          <w:tcPr>
            <w:tcW w:w="1668" w:type="dxa"/>
            <w:vAlign w:val="center"/>
          </w:tcPr>
          <w:p w:rsidR="007D710F" w:rsidRPr="00507A7D" w:rsidRDefault="000974B9">
            <w:pPr>
              <w:spacing w:after="200" w:line="276" w:lineRule="auto"/>
              <w:rPr>
                <w:sz w:val="24"/>
                <w:szCs w:val="24"/>
              </w:rPr>
            </w:pPr>
            <w:r w:rsidRPr="00507A7D">
              <w:rPr>
                <w:sz w:val="24"/>
                <w:szCs w:val="24"/>
              </w:rPr>
              <w:t>Adres</w:t>
            </w:r>
          </w:p>
        </w:tc>
        <w:tc>
          <w:tcPr>
            <w:tcW w:w="7544" w:type="dxa"/>
            <w:vAlign w:val="center"/>
          </w:tcPr>
          <w:p w:rsidR="007D710F" w:rsidRPr="00507A7D" w:rsidRDefault="007D710F">
            <w:pPr>
              <w:spacing w:after="200" w:line="276" w:lineRule="auto"/>
              <w:rPr>
                <w:sz w:val="24"/>
                <w:szCs w:val="24"/>
              </w:rPr>
            </w:pPr>
          </w:p>
        </w:tc>
      </w:tr>
      <w:tr w:rsidR="007D710F" w:rsidRPr="00507A7D" w:rsidTr="00777F4E">
        <w:trPr>
          <w:trHeight w:val="567"/>
        </w:trPr>
        <w:tc>
          <w:tcPr>
            <w:tcW w:w="1668" w:type="dxa"/>
            <w:vAlign w:val="center"/>
          </w:tcPr>
          <w:p w:rsidR="007D710F" w:rsidRPr="00507A7D" w:rsidRDefault="000974B9">
            <w:pPr>
              <w:spacing w:after="200" w:line="276" w:lineRule="auto"/>
              <w:rPr>
                <w:sz w:val="24"/>
                <w:szCs w:val="24"/>
              </w:rPr>
            </w:pPr>
            <w:r w:rsidRPr="00507A7D">
              <w:rPr>
                <w:sz w:val="24"/>
                <w:szCs w:val="24"/>
              </w:rPr>
              <w:t>Plaats</w:t>
            </w:r>
          </w:p>
        </w:tc>
        <w:tc>
          <w:tcPr>
            <w:tcW w:w="7544" w:type="dxa"/>
            <w:vAlign w:val="center"/>
          </w:tcPr>
          <w:p w:rsidR="007D710F" w:rsidRPr="00507A7D" w:rsidRDefault="007D710F">
            <w:pPr>
              <w:spacing w:after="200" w:line="276" w:lineRule="auto"/>
              <w:rPr>
                <w:sz w:val="24"/>
                <w:szCs w:val="24"/>
              </w:rPr>
            </w:pPr>
          </w:p>
        </w:tc>
      </w:tr>
      <w:tr w:rsidR="007D710F" w:rsidRPr="00507A7D" w:rsidTr="00777F4E">
        <w:trPr>
          <w:trHeight w:val="567"/>
        </w:trPr>
        <w:tc>
          <w:tcPr>
            <w:tcW w:w="1668" w:type="dxa"/>
            <w:vAlign w:val="center"/>
          </w:tcPr>
          <w:p w:rsidR="007D710F" w:rsidRPr="00507A7D" w:rsidRDefault="000974B9">
            <w:pPr>
              <w:spacing w:after="200" w:line="276" w:lineRule="auto"/>
              <w:rPr>
                <w:sz w:val="24"/>
                <w:szCs w:val="24"/>
              </w:rPr>
            </w:pPr>
            <w:r w:rsidRPr="00507A7D">
              <w:rPr>
                <w:sz w:val="24"/>
                <w:szCs w:val="24"/>
              </w:rPr>
              <w:t>Telefoon</w:t>
            </w:r>
          </w:p>
        </w:tc>
        <w:tc>
          <w:tcPr>
            <w:tcW w:w="7544" w:type="dxa"/>
            <w:vAlign w:val="center"/>
          </w:tcPr>
          <w:p w:rsidR="007D710F" w:rsidRPr="00507A7D" w:rsidRDefault="007D710F">
            <w:pPr>
              <w:spacing w:after="200" w:line="276" w:lineRule="auto"/>
              <w:rPr>
                <w:sz w:val="24"/>
                <w:szCs w:val="24"/>
              </w:rPr>
            </w:pPr>
          </w:p>
        </w:tc>
      </w:tr>
      <w:tr w:rsidR="003F0A6C" w:rsidRPr="00507A7D" w:rsidTr="00777F4E">
        <w:trPr>
          <w:trHeight w:val="567"/>
        </w:trPr>
        <w:tc>
          <w:tcPr>
            <w:tcW w:w="1668" w:type="dxa"/>
            <w:vAlign w:val="center"/>
          </w:tcPr>
          <w:p w:rsidR="003F0A6C" w:rsidRPr="00507A7D" w:rsidRDefault="000974B9" w:rsidP="002215E0">
            <w:pPr>
              <w:spacing w:after="200" w:line="276" w:lineRule="auto"/>
              <w:rPr>
                <w:sz w:val="24"/>
                <w:szCs w:val="24"/>
              </w:rPr>
            </w:pPr>
            <w:r w:rsidRPr="00507A7D">
              <w:rPr>
                <w:sz w:val="24"/>
                <w:szCs w:val="24"/>
              </w:rPr>
              <w:t>E-mail</w:t>
            </w:r>
          </w:p>
        </w:tc>
        <w:tc>
          <w:tcPr>
            <w:tcW w:w="7544" w:type="dxa"/>
            <w:vAlign w:val="center"/>
          </w:tcPr>
          <w:p w:rsidR="003F0A6C" w:rsidRPr="00507A7D" w:rsidRDefault="003F0A6C">
            <w:pPr>
              <w:spacing w:after="200" w:line="276" w:lineRule="auto"/>
              <w:rPr>
                <w:sz w:val="24"/>
                <w:szCs w:val="24"/>
              </w:rPr>
            </w:pPr>
          </w:p>
        </w:tc>
      </w:tr>
    </w:tbl>
    <w:p w:rsidR="00317CF7" w:rsidRPr="00507A7D" w:rsidRDefault="00317CF7" w:rsidP="00507A7D">
      <w:pPr>
        <w:rPr>
          <w:sz w:val="24"/>
          <w:szCs w:val="24"/>
        </w:rPr>
      </w:pPr>
    </w:p>
    <w:sectPr w:rsidR="00317CF7" w:rsidRPr="00507A7D" w:rsidSect="004D4AC3">
      <w:headerReference w:type="default" r:id="rId8"/>
      <w:footerReference w:type="default" r:id="rId9"/>
      <w:pgSz w:w="11906" w:h="16838"/>
      <w:pgMar w:top="241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B9" w:rsidRDefault="005024B9" w:rsidP="007D710F">
      <w:pPr>
        <w:spacing w:after="0" w:line="240" w:lineRule="auto"/>
      </w:pPr>
      <w:r>
        <w:separator/>
      </w:r>
    </w:p>
  </w:endnote>
  <w:endnote w:type="continuationSeparator" w:id="0">
    <w:p w:rsidR="005024B9" w:rsidRDefault="005024B9" w:rsidP="007D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6C" w:rsidRDefault="00AF526C">
    <w:pPr>
      <w:pStyle w:val="Voettekst"/>
    </w:pPr>
    <w:r>
      <w:t>VPHuisartsen, april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B9" w:rsidRDefault="005024B9" w:rsidP="007D710F">
      <w:pPr>
        <w:spacing w:after="0" w:line="240" w:lineRule="auto"/>
      </w:pPr>
      <w:r>
        <w:separator/>
      </w:r>
    </w:p>
  </w:footnote>
  <w:footnote w:type="continuationSeparator" w:id="0">
    <w:p w:rsidR="005024B9" w:rsidRDefault="005024B9" w:rsidP="007D7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6C" w:rsidRDefault="00AF526C">
    <w:pPr>
      <w:pStyle w:val="Koptekst"/>
    </w:pPr>
    <w:r>
      <w:rPr>
        <w:noProof/>
      </w:rPr>
      <w:drawing>
        <wp:anchor distT="0" distB="0" distL="114300" distR="114300" simplePos="0" relativeHeight="251659264" behindDoc="1" locked="0" layoutInCell="1" allowOverlap="1">
          <wp:simplePos x="0" y="0"/>
          <wp:positionH relativeFrom="column">
            <wp:posOffset>3855085</wp:posOffset>
          </wp:positionH>
          <wp:positionV relativeFrom="paragraph">
            <wp:posOffset>-266700</wp:posOffset>
          </wp:positionV>
          <wp:extent cx="2141220" cy="952500"/>
          <wp:effectExtent l="0" t="0" r="0" b="0"/>
          <wp:wrapTight wrapText="bothSides">
            <wp:wrapPolygon edited="0">
              <wp:start x="8840" y="1296"/>
              <wp:lineTo x="7687" y="1296"/>
              <wp:lineTo x="5381" y="6048"/>
              <wp:lineTo x="5381" y="8208"/>
              <wp:lineTo x="3651" y="8208"/>
              <wp:lineTo x="2114" y="11664"/>
              <wp:lineTo x="2306" y="17712"/>
              <wp:lineTo x="7110" y="19440"/>
              <wp:lineTo x="14221" y="19440"/>
              <wp:lineTo x="15566" y="19440"/>
              <wp:lineTo x="16719" y="19440"/>
              <wp:lineTo x="19601" y="16416"/>
              <wp:lineTo x="19601" y="11232"/>
              <wp:lineTo x="15181" y="8208"/>
              <wp:lineTo x="9224" y="8208"/>
              <wp:lineTo x="10569" y="2592"/>
              <wp:lineTo x="10569" y="1296"/>
              <wp:lineTo x="8840" y="1296"/>
            </wp:wrapPolygon>
          </wp:wrapTight>
          <wp:docPr id="4" name="Afbeelding 4" descr="http://www.aiasoftware.com/uploads/images/clients/logo_Goud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asoftware.com/uploads/images/clients/logo_Goudse.png"/>
                  <pic:cNvPicPr>
                    <a:picLocks noChangeAspect="1" noChangeArrowheads="1"/>
                  </pic:cNvPicPr>
                </pic:nvPicPr>
                <pic:blipFill>
                  <a:blip r:embed="rId1"/>
                  <a:srcRect/>
                  <a:stretch>
                    <a:fillRect/>
                  </a:stretch>
                </pic:blipFill>
                <pic:spPr bwMode="auto">
                  <a:xfrm>
                    <a:off x="0" y="0"/>
                    <a:ext cx="2141220" cy="952500"/>
                  </a:xfrm>
                  <a:prstGeom prst="rect">
                    <a:avLst/>
                  </a:prstGeom>
                  <a:noFill/>
                  <a:ln w="9525">
                    <a:noFill/>
                    <a:miter lim="800000"/>
                    <a:headEnd/>
                    <a:tailEnd/>
                  </a:ln>
                </pic:spPr>
              </pic:pic>
            </a:graphicData>
          </a:graphic>
        </wp:anchor>
      </w:drawing>
    </w:r>
    <w:r w:rsidRPr="007D710F">
      <w:rPr>
        <w:noProof/>
      </w:rPr>
      <w:drawing>
        <wp:anchor distT="0" distB="0" distL="114300" distR="114300" simplePos="0" relativeHeight="251658240" behindDoc="1" locked="0" layoutInCell="1" allowOverlap="1">
          <wp:simplePos x="0" y="0"/>
          <wp:positionH relativeFrom="column">
            <wp:posOffset>-294005</wp:posOffset>
          </wp:positionH>
          <wp:positionV relativeFrom="paragraph">
            <wp:posOffset>-68580</wp:posOffset>
          </wp:positionV>
          <wp:extent cx="2846070" cy="640080"/>
          <wp:effectExtent l="19050" t="0" r="0" b="0"/>
          <wp:wrapTight wrapText="bothSides">
            <wp:wrapPolygon edited="0">
              <wp:start x="3904" y="0"/>
              <wp:lineTo x="-145" y="1929"/>
              <wp:lineTo x="-145" y="8357"/>
              <wp:lineTo x="2169" y="10286"/>
              <wp:lineTo x="2169" y="17357"/>
              <wp:lineTo x="4048" y="20571"/>
              <wp:lineTo x="8530" y="21214"/>
              <wp:lineTo x="13157" y="21214"/>
              <wp:lineTo x="13301" y="21214"/>
              <wp:lineTo x="13446" y="20571"/>
              <wp:lineTo x="21542" y="20571"/>
              <wp:lineTo x="21542" y="7071"/>
              <wp:lineTo x="4771" y="0"/>
              <wp:lineTo x="3904" y="0"/>
            </wp:wrapPolygon>
          </wp:wrapTight>
          <wp:docPr id="2" name="Afbeelding 1" descr="http://www.vphuisartsen.nl/wordpress/wp-content/themes/VPHuisartsen/images/logo.png?9d7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huisartsen.nl/wordpress/wp-content/themes/VPHuisartsen/images/logo.png?9d7b2d"/>
                  <pic:cNvPicPr>
                    <a:picLocks noChangeAspect="1" noChangeArrowheads="1"/>
                  </pic:cNvPicPr>
                </pic:nvPicPr>
                <pic:blipFill>
                  <a:blip r:embed="rId2"/>
                  <a:srcRect/>
                  <a:stretch>
                    <a:fillRect/>
                  </a:stretch>
                </pic:blipFill>
                <pic:spPr bwMode="auto">
                  <a:xfrm>
                    <a:off x="0" y="0"/>
                    <a:ext cx="2846070" cy="6400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64647"/>
    <w:multiLevelType w:val="hybridMultilevel"/>
    <w:tmpl w:val="85E2A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7D710F"/>
    <w:rsid w:val="000408BD"/>
    <w:rsid w:val="00046A4C"/>
    <w:rsid w:val="000974B9"/>
    <w:rsid w:val="000B40BA"/>
    <w:rsid w:val="00154D39"/>
    <w:rsid w:val="00192231"/>
    <w:rsid w:val="001C49A4"/>
    <w:rsid w:val="002033FA"/>
    <w:rsid w:val="002215E0"/>
    <w:rsid w:val="00260363"/>
    <w:rsid w:val="00287F6D"/>
    <w:rsid w:val="00317CF7"/>
    <w:rsid w:val="003F0A6C"/>
    <w:rsid w:val="00443282"/>
    <w:rsid w:val="004453FB"/>
    <w:rsid w:val="004574F6"/>
    <w:rsid w:val="004C2FDA"/>
    <w:rsid w:val="004D4AC3"/>
    <w:rsid w:val="005024B9"/>
    <w:rsid w:val="00507A7D"/>
    <w:rsid w:val="00515F2F"/>
    <w:rsid w:val="005D37A8"/>
    <w:rsid w:val="005E474F"/>
    <w:rsid w:val="0064742F"/>
    <w:rsid w:val="006853F9"/>
    <w:rsid w:val="006867AE"/>
    <w:rsid w:val="006D7839"/>
    <w:rsid w:val="006F4AFD"/>
    <w:rsid w:val="00734B0C"/>
    <w:rsid w:val="0076790A"/>
    <w:rsid w:val="00777F4E"/>
    <w:rsid w:val="007947B9"/>
    <w:rsid w:val="007D710F"/>
    <w:rsid w:val="00845C98"/>
    <w:rsid w:val="00865E0F"/>
    <w:rsid w:val="008A3F21"/>
    <w:rsid w:val="009B41C6"/>
    <w:rsid w:val="00A501E4"/>
    <w:rsid w:val="00A97297"/>
    <w:rsid w:val="00AF526C"/>
    <w:rsid w:val="00B319CE"/>
    <w:rsid w:val="00C31063"/>
    <w:rsid w:val="00E377BD"/>
    <w:rsid w:val="00E97114"/>
    <w:rsid w:val="00EE1778"/>
    <w:rsid w:val="00F958E1"/>
    <w:rsid w:val="00FA05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1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1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10F"/>
    <w:rPr>
      <w:rFonts w:ascii="Tahoma" w:hAnsi="Tahoma" w:cs="Tahoma"/>
      <w:sz w:val="16"/>
      <w:szCs w:val="16"/>
    </w:rPr>
  </w:style>
  <w:style w:type="paragraph" w:styleId="Koptekst">
    <w:name w:val="header"/>
    <w:basedOn w:val="Standaard"/>
    <w:link w:val="KoptekstChar"/>
    <w:uiPriority w:val="99"/>
    <w:semiHidden/>
    <w:unhideWhenUsed/>
    <w:rsid w:val="007D7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D710F"/>
  </w:style>
  <w:style w:type="paragraph" w:styleId="Voettekst">
    <w:name w:val="footer"/>
    <w:basedOn w:val="Standaard"/>
    <w:link w:val="VoettekstChar"/>
    <w:uiPriority w:val="99"/>
    <w:semiHidden/>
    <w:unhideWhenUsed/>
    <w:rsid w:val="007D7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D710F"/>
  </w:style>
  <w:style w:type="table" w:styleId="Tabelraster">
    <w:name w:val="Table Grid"/>
    <w:basedOn w:val="Standaardtabel"/>
    <w:uiPriority w:val="59"/>
    <w:rsid w:val="007D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377BD"/>
    <w:pPr>
      <w:ind w:left="720"/>
      <w:contextualSpacing/>
    </w:pPr>
  </w:style>
  <w:style w:type="paragraph" w:styleId="Revisie">
    <w:name w:val="Revision"/>
    <w:hidden/>
    <w:uiPriority w:val="99"/>
    <w:semiHidden/>
    <w:rsid w:val="002603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1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10F"/>
    <w:rPr>
      <w:rFonts w:ascii="Tahoma" w:hAnsi="Tahoma" w:cs="Tahoma"/>
      <w:sz w:val="16"/>
      <w:szCs w:val="16"/>
    </w:rPr>
  </w:style>
  <w:style w:type="paragraph" w:styleId="Koptekst">
    <w:name w:val="header"/>
    <w:basedOn w:val="Standaard"/>
    <w:link w:val="KoptekstChar"/>
    <w:uiPriority w:val="99"/>
    <w:semiHidden/>
    <w:unhideWhenUsed/>
    <w:rsid w:val="007D7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D710F"/>
  </w:style>
  <w:style w:type="paragraph" w:styleId="Voettekst">
    <w:name w:val="footer"/>
    <w:basedOn w:val="Standaard"/>
    <w:link w:val="VoettekstChar"/>
    <w:uiPriority w:val="99"/>
    <w:semiHidden/>
    <w:unhideWhenUsed/>
    <w:rsid w:val="007D7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D710F"/>
  </w:style>
  <w:style w:type="table" w:styleId="Tabelraster">
    <w:name w:val="Table Grid"/>
    <w:basedOn w:val="Standaardtabel"/>
    <w:uiPriority w:val="59"/>
    <w:rsid w:val="007D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7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4A0F-73C5-49C6-AC8F-D5E2A347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Goudse Verzekeringen</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Jelma-Runia</dc:creator>
  <cp:lastModifiedBy>hreinders</cp:lastModifiedBy>
  <cp:revision>2</cp:revision>
  <cp:lastPrinted>2015-04-13T19:53:00Z</cp:lastPrinted>
  <dcterms:created xsi:type="dcterms:W3CDTF">2015-04-20T09:56:00Z</dcterms:created>
  <dcterms:modified xsi:type="dcterms:W3CDTF">2015-04-20T09:56:00Z</dcterms:modified>
</cp:coreProperties>
</file>